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FC5F" w14:textId="77777777" w:rsidR="006F4BAA" w:rsidRDefault="006F4BAA" w:rsidP="006F4BAA">
      <w:pPr>
        <w:spacing w:after="0"/>
        <w:jc w:val="center"/>
        <w:rPr>
          <w:b/>
          <w:bCs/>
        </w:rPr>
      </w:pPr>
      <w:r w:rsidRPr="006F4BAA">
        <w:rPr>
          <w:b/>
          <w:bCs/>
        </w:rPr>
        <w:t>CPG's Annual Conference 2023</w:t>
      </w:r>
      <w:r>
        <w:rPr>
          <w:b/>
          <w:bCs/>
        </w:rPr>
        <w:t>:</w:t>
      </w:r>
    </w:p>
    <w:p w14:paraId="3F8CC062" w14:textId="41CCF81B" w:rsidR="006F4BAA" w:rsidRPr="006F4BAA" w:rsidRDefault="006F4BAA" w:rsidP="006F4BAA">
      <w:pPr>
        <w:jc w:val="center"/>
      </w:pPr>
      <w:r w:rsidRPr="006F4BAA">
        <w:rPr>
          <w:b/>
          <w:bCs/>
        </w:rPr>
        <w:t>Explores ESG &amp; Supply Chain Challenges in a New Regulatory Landscape</w:t>
      </w:r>
    </w:p>
    <w:p w14:paraId="15BD51E9" w14:textId="041BB2CC" w:rsidR="006F4BAA" w:rsidRPr="006F4BAA" w:rsidRDefault="006F4BAA" w:rsidP="006F4BAA">
      <w:r>
        <w:t xml:space="preserve">The German-Southeast Asian Center of Excellence for Public Policy and Good Governance (CPG) – </w:t>
      </w:r>
      <w:r w:rsidRPr="006F4BAA">
        <w:t xml:space="preserve">an academic institute and think tank </w:t>
      </w:r>
      <w:r>
        <w:t xml:space="preserve">headquartered </w:t>
      </w:r>
      <w:r w:rsidRPr="006F4BAA">
        <w:t xml:space="preserve">at the Faculty of Law </w:t>
      </w:r>
      <w:r>
        <w:t xml:space="preserve">at </w:t>
      </w:r>
      <w:r w:rsidRPr="006F4BAA">
        <w:t>Thammasat University in Bangkok</w:t>
      </w:r>
      <w:r>
        <w:t xml:space="preserve"> – </w:t>
      </w:r>
      <w:r w:rsidRPr="006F4BAA">
        <w:t xml:space="preserve">is </w:t>
      </w:r>
      <w:r>
        <w:t xml:space="preserve">pleased </w:t>
      </w:r>
      <w:r w:rsidRPr="006F4BAA">
        <w:t xml:space="preserve">to announce its </w:t>
      </w:r>
      <w:r>
        <w:t>a</w:t>
      </w:r>
      <w:r w:rsidRPr="006F4BAA">
        <w:t xml:space="preserve">nnual </w:t>
      </w:r>
      <w:r>
        <w:t>c</w:t>
      </w:r>
      <w:r w:rsidRPr="006F4BAA">
        <w:t xml:space="preserve">onference for the year 2023, </w:t>
      </w:r>
      <w:r>
        <w:t xml:space="preserve">dedicated to the </w:t>
      </w:r>
      <w:r w:rsidRPr="006F4BAA">
        <w:t>theme</w:t>
      </w:r>
      <w:r>
        <w:t xml:space="preserve"> </w:t>
      </w:r>
      <w:r w:rsidRPr="006F4BAA">
        <w:t>"</w:t>
      </w:r>
      <w:r w:rsidRPr="006F4BAA">
        <w:rPr>
          <w:b/>
          <w:bCs/>
        </w:rPr>
        <w:t>ESG &amp; Supply Chains: Navigating a New Regulatory Environment</w:t>
      </w:r>
      <w:r w:rsidRPr="006F4BAA">
        <w:t xml:space="preserve">." This event will take place from </w:t>
      </w:r>
      <w:r w:rsidRPr="006F4BAA">
        <w:rPr>
          <w:b/>
          <w:bCs/>
        </w:rPr>
        <w:t>October 14-15, 2023,</w:t>
      </w:r>
      <w:r w:rsidRPr="006F4BAA">
        <w:t xml:space="preserve"> at the </w:t>
      </w:r>
      <w:r w:rsidRPr="006F4BAA">
        <w:rPr>
          <w:b/>
          <w:bCs/>
        </w:rPr>
        <w:t>Salil Hotel Riverside</w:t>
      </w:r>
      <w:r w:rsidRPr="006F4BAA">
        <w:t xml:space="preserve"> in the heart of </w:t>
      </w:r>
      <w:r w:rsidRPr="006F4BAA">
        <w:rPr>
          <w:b/>
          <w:bCs/>
        </w:rPr>
        <w:t>Bangkok, Thailand</w:t>
      </w:r>
      <w:r w:rsidRPr="006F4BAA">
        <w:t>.</w:t>
      </w:r>
    </w:p>
    <w:p w14:paraId="7238362A" w14:textId="454C98AD" w:rsidR="006F4BAA" w:rsidRDefault="006F4BAA" w:rsidP="006F4BAA">
      <w:pPr>
        <w:jc w:val="center"/>
      </w:pPr>
      <w:r w:rsidRPr="006F4BAA">
        <w:rPr>
          <w:b/>
          <w:bCs/>
        </w:rPr>
        <w:t>About the Conference</w:t>
      </w:r>
    </w:p>
    <w:p w14:paraId="7622AC97" w14:textId="77777777" w:rsidR="00B10FF7" w:rsidRDefault="00B10FF7" w:rsidP="00B10FF7">
      <w:r w:rsidRPr="00B10FF7">
        <w:t>Join us for an insightful exploration of the critical themes shaping the ESG landscape and supply chain due diligence in Asia. CPG's Annual Conference 2023 will bring together thought leaders, industry experts, and academics from Asia and Europe to address key topics, including:</w:t>
      </w:r>
    </w:p>
    <w:p w14:paraId="3FCB50E0" w14:textId="1E48779D" w:rsidR="001A5FD5" w:rsidRDefault="001A5FD5" w:rsidP="0052784C">
      <w:pPr>
        <w:pStyle w:val="ListParagraph"/>
        <w:numPr>
          <w:ilvl w:val="0"/>
          <w:numId w:val="5"/>
        </w:numPr>
      </w:pPr>
      <w:r>
        <w:t xml:space="preserve">The Emerging ESG Landscape and its Challenges: </w:t>
      </w:r>
    </w:p>
    <w:p w14:paraId="75EA748B" w14:textId="37B5449D" w:rsidR="001A5FD5" w:rsidRDefault="001A5FD5" w:rsidP="0052784C">
      <w:pPr>
        <w:pStyle w:val="ListParagraph"/>
        <w:numPr>
          <w:ilvl w:val="0"/>
          <w:numId w:val="5"/>
        </w:numPr>
      </w:pPr>
      <w:r>
        <w:t xml:space="preserve">The Human Rights and Environmental Realities in Asian Supply Chains: </w:t>
      </w:r>
    </w:p>
    <w:p w14:paraId="3E85EA2A" w14:textId="4276F736" w:rsidR="001A5FD5" w:rsidRDefault="001A5FD5" w:rsidP="0052784C">
      <w:pPr>
        <w:pStyle w:val="ListParagraph"/>
        <w:numPr>
          <w:ilvl w:val="0"/>
          <w:numId w:val="5"/>
        </w:numPr>
      </w:pPr>
      <w:r>
        <w:t xml:space="preserve">The Impact of ESG Supply Chain Standards and Regulations on Investment and Business in Asia: </w:t>
      </w:r>
    </w:p>
    <w:p w14:paraId="327515DD" w14:textId="661FEF91" w:rsidR="001A5FD5" w:rsidRDefault="001A5FD5" w:rsidP="0052784C">
      <w:pPr>
        <w:pStyle w:val="ListParagraph"/>
        <w:numPr>
          <w:ilvl w:val="0"/>
          <w:numId w:val="5"/>
        </w:numPr>
      </w:pPr>
      <w:r>
        <w:t xml:space="preserve">Implementing ESG Supply Chain Standards and Regulations: </w:t>
      </w:r>
    </w:p>
    <w:p w14:paraId="50D49980" w14:textId="65E6637F" w:rsidR="001A5FD5" w:rsidRDefault="001A5FD5" w:rsidP="0052784C">
      <w:pPr>
        <w:pStyle w:val="ListParagraph"/>
        <w:numPr>
          <w:ilvl w:val="0"/>
          <w:numId w:val="5"/>
        </w:numPr>
      </w:pPr>
      <w:r>
        <w:t xml:space="preserve">Potentials and Challenges for Collective Action and Multi-Stakeholder Frameworks: </w:t>
      </w:r>
    </w:p>
    <w:p w14:paraId="071191A7" w14:textId="27B71AC9" w:rsidR="001A5FD5" w:rsidRDefault="001A5FD5" w:rsidP="0052784C">
      <w:pPr>
        <w:pStyle w:val="ListParagraph"/>
        <w:numPr>
          <w:ilvl w:val="0"/>
          <w:numId w:val="5"/>
        </w:numPr>
      </w:pPr>
      <w:r>
        <w:t xml:space="preserve">Third-Party Certification and Standardization: </w:t>
      </w:r>
    </w:p>
    <w:p w14:paraId="39C1F318" w14:textId="77777777" w:rsidR="0052784C" w:rsidRPr="0052784C" w:rsidRDefault="001A5FD5" w:rsidP="0052784C">
      <w:pPr>
        <w:pStyle w:val="ListParagraph"/>
        <w:numPr>
          <w:ilvl w:val="0"/>
          <w:numId w:val="5"/>
        </w:numPr>
        <w:rPr>
          <w:b/>
          <w:bCs/>
        </w:rPr>
      </w:pPr>
      <w:r>
        <w:t>The Future of ESG in Asian Supply Chains:</w:t>
      </w:r>
    </w:p>
    <w:p w14:paraId="0FB63454" w14:textId="77777777" w:rsidR="0052784C" w:rsidRPr="0052784C" w:rsidRDefault="0052784C" w:rsidP="0052784C">
      <w:pPr>
        <w:rPr>
          <w:b/>
          <w:bCs/>
        </w:rPr>
      </w:pPr>
    </w:p>
    <w:p w14:paraId="6E81EA87" w14:textId="0A5D563C" w:rsidR="006F4BAA" w:rsidRPr="001A5FD5" w:rsidRDefault="006F4BAA" w:rsidP="0052784C">
      <w:pPr>
        <w:pStyle w:val="ListParagraph"/>
        <w:ind w:left="0"/>
        <w:jc w:val="center"/>
        <w:rPr>
          <w:b/>
          <w:bCs/>
        </w:rPr>
      </w:pPr>
      <w:r w:rsidRPr="001A5FD5">
        <w:rPr>
          <w:b/>
          <w:bCs/>
        </w:rPr>
        <w:t>Registration Information</w:t>
      </w:r>
    </w:p>
    <w:p w14:paraId="7D3EA3B4" w14:textId="77777777" w:rsidR="00B10FF7" w:rsidRDefault="00B10FF7" w:rsidP="00B10FF7">
      <w:r w:rsidRPr="00B10FF7">
        <w:t xml:space="preserve">Registration is now open. To secure your spot, please fill out the registration form available </w:t>
      </w:r>
      <w:hyperlink r:id="rId8" w:tgtFrame="_new" w:history="1">
        <w:r w:rsidRPr="00B10FF7">
          <w:rPr>
            <w:rStyle w:val="Hyperlink"/>
          </w:rPr>
          <w:t>here</w:t>
        </w:r>
      </w:hyperlink>
      <w:r w:rsidRPr="00B10FF7">
        <w:t>. Please note that a restricted number of seats are available, assigned on a first-come-first-serve basis. If you register after the available seats have been filled, a fee of THB 1,500.00 per person, per conference day, will be applicable. All fees are charged solely to cover catering costs as the conference is a strictly non-profit activity.</w:t>
      </w:r>
    </w:p>
    <w:p w14:paraId="2C9ABC0A" w14:textId="5C63D712" w:rsidR="006F4BAA" w:rsidRDefault="006F4BAA" w:rsidP="006F4BAA">
      <w:pPr>
        <w:jc w:val="center"/>
        <w:rPr>
          <w:b/>
          <w:bCs/>
        </w:rPr>
      </w:pPr>
      <w:r w:rsidRPr="006F4BAA">
        <w:rPr>
          <w:b/>
          <w:bCs/>
        </w:rPr>
        <w:t>Venue Detail</w:t>
      </w:r>
      <w:r>
        <w:rPr>
          <w:b/>
          <w:bCs/>
        </w:rPr>
        <w:t>s</w:t>
      </w:r>
    </w:p>
    <w:p w14:paraId="16A77B8A" w14:textId="77777777" w:rsidR="00B10FF7" w:rsidRDefault="00B10FF7" w:rsidP="00B10FF7">
      <w:r w:rsidRPr="00B10FF7">
        <w:t>The Salil Hotel Riverside, located at 2052, 7-9 Charoen Krung 72/-1 Alley, Wat Phraya Krai, Bang Kho Laem, Bangkok 10120, provides an elegant ambiance and amenities, creating the perfect backdrop for our engaging discussions and networking events.</w:t>
      </w:r>
    </w:p>
    <w:p w14:paraId="243D118C" w14:textId="5F1729B2" w:rsidR="00B10FF7" w:rsidRDefault="006F4BAA" w:rsidP="00B10FF7">
      <w:pPr>
        <w:jc w:val="center"/>
        <w:rPr>
          <w:b/>
          <w:bCs/>
        </w:rPr>
      </w:pPr>
      <w:r w:rsidRPr="006F4BAA">
        <w:rPr>
          <w:b/>
          <w:bCs/>
        </w:rPr>
        <w:t>Contact Information</w:t>
      </w:r>
    </w:p>
    <w:p w14:paraId="0EE05FBD" w14:textId="77777777" w:rsidR="00B10FF7" w:rsidRPr="00B10FF7" w:rsidRDefault="00B10FF7" w:rsidP="00B10FF7">
      <w:r w:rsidRPr="00B10FF7">
        <w:t>For additional information about CPG's Annual Conference 2023, please contact:</w:t>
      </w:r>
    </w:p>
    <w:p w14:paraId="50C59400" w14:textId="77777777" w:rsidR="00B10FF7" w:rsidRPr="00B10FF7" w:rsidRDefault="00B10FF7" w:rsidP="00B10FF7">
      <w:pPr>
        <w:numPr>
          <w:ilvl w:val="0"/>
          <w:numId w:val="3"/>
        </w:numPr>
      </w:pPr>
      <w:r w:rsidRPr="00B10FF7">
        <w:t xml:space="preserve">Lucas Meier (Senior Program Officer) via </w:t>
      </w:r>
      <w:hyperlink r:id="rId9" w:tgtFrame="_new" w:history="1">
        <w:r w:rsidRPr="00B10FF7">
          <w:rPr>
            <w:rStyle w:val="Hyperlink"/>
          </w:rPr>
          <w:t>lucas.meier@cpg-online.de</w:t>
        </w:r>
      </w:hyperlink>
    </w:p>
    <w:p w14:paraId="46CBA2A2" w14:textId="77777777" w:rsidR="00B10FF7" w:rsidRPr="00B10FF7" w:rsidRDefault="00B10FF7" w:rsidP="00B10FF7">
      <w:pPr>
        <w:numPr>
          <w:ilvl w:val="0"/>
          <w:numId w:val="3"/>
        </w:numPr>
      </w:pPr>
      <w:r w:rsidRPr="00B10FF7">
        <w:t xml:space="preserve">Venus Phuangkom (Event Manager) via </w:t>
      </w:r>
      <w:hyperlink r:id="rId10" w:tgtFrame="_new" w:history="1">
        <w:r w:rsidRPr="00B10FF7">
          <w:rPr>
            <w:rStyle w:val="Hyperlink"/>
          </w:rPr>
          <w:t>events@cpg-online.de</w:t>
        </w:r>
      </w:hyperlink>
      <w:r w:rsidRPr="00B10FF7">
        <w:t>.</w:t>
      </w:r>
    </w:p>
    <w:p w14:paraId="51ECDC83" w14:textId="79122437" w:rsidR="00B10FF7" w:rsidRDefault="00B10FF7" w:rsidP="006F4BAA">
      <w:r w:rsidRPr="00B10FF7">
        <w:t xml:space="preserve">For the latest updates and conference details, </w:t>
      </w:r>
      <w:r>
        <w:t xml:space="preserve">including the agenda and speakers, </w:t>
      </w:r>
      <w:r w:rsidRPr="00B10FF7">
        <w:t xml:space="preserve">please visit </w:t>
      </w:r>
      <w:r>
        <w:t xml:space="preserve">the event webpage </w:t>
      </w:r>
      <w:hyperlink r:id="rId11" w:tgtFrame="_new" w:history="1">
        <w:r w:rsidRPr="00B10FF7">
          <w:rPr>
            <w:rStyle w:val="Hyperlink"/>
          </w:rPr>
          <w:t>here</w:t>
        </w:r>
      </w:hyperlink>
      <w:r w:rsidRPr="00B10FF7">
        <w:t>.</w:t>
      </w:r>
    </w:p>
    <w:p w14:paraId="090B8EA7" w14:textId="1D7B1D45" w:rsidR="006F4BAA" w:rsidRPr="006F4BAA" w:rsidRDefault="006F4BAA" w:rsidP="00B10FF7">
      <w:pPr>
        <w:jc w:val="center"/>
      </w:pPr>
      <w:r w:rsidRPr="006F4BAA">
        <w:rPr>
          <w:b/>
          <w:bCs/>
        </w:rPr>
        <w:t>About CPG</w:t>
      </w:r>
    </w:p>
    <w:p w14:paraId="179427A9" w14:textId="3271C702" w:rsidR="0015740F" w:rsidRPr="00B10FF7" w:rsidRDefault="00B10FF7" w:rsidP="00625FC4">
      <w:r w:rsidRPr="00B10FF7">
        <w:t xml:space="preserve">CPG is an academic institute and think tank with its main office at the Faculty of Law of Thammasat University in Bangkok. Established in 2009 under the Excellence Initiative of the German Federal Government, CPG is funded by the German Ministry of Foreign Affairs (Federal Foreign Office) and </w:t>
      </w:r>
      <w:r w:rsidRPr="00B10FF7">
        <w:lastRenderedPageBreak/>
        <w:t>receives administrative support from the German Academic Exchange Service (DAAD).</w:t>
      </w:r>
      <w:r>
        <w:t xml:space="preserve"> The upcoming conference combines two long-standing focal points of CPG’s work: ESG and compliance.</w:t>
      </w:r>
    </w:p>
    <w:sectPr w:rsidR="0015740F" w:rsidRPr="00B10FF7" w:rsidSect="006F4BA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Medium">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Open Sans SemiCondensed">
    <w:altName w:val="Segoe UI"/>
    <w:panose1 w:val="00000000000000000000"/>
    <w:charset w:val="00"/>
    <w:family w:val="auto"/>
    <w:pitch w:val="variable"/>
    <w:sig w:usb0="E00002FF" w:usb1="4000201B" w:usb2="00000028"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0A0C"/>
    <w:multiLevelType w:val="hybridMultilevel"/>
    <w:tmpl w:val="BD5025C4"/>
    <w:lvl w:ilvl="0" w:tplc="32A667C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E914CC"/>
    <w:multiLevelType w:val="multilevel"/>
    <w:tmpl w:val="087E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235960"/>
    <w:multiLevelType w:val="multilevel"/>
    <w:tmpl w:val="FF4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570772"/>
    <w:multiLevelType w:val="hybridMultilevel"/>
    <w:tmpl w:val="8A5C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11AD8"/>
    <w:multiLevelType w:val="hybridMultilevel"/>
    <w:tmpl w:val="1D326932"/>
    <w:lvl w:ilvl="0" w:tplc="91249F68">
      <w:numFmt w:val="bullet"/>
      <w:lvlText w:val="–"/>
      <w:lvlJc w:val="left"/>
      <w:pPr>
        <w:ind w:left="420" w:hanging="360"/>
      </w:pPr>
      <w:rPr>
        <w:rFonts w:ascii="Lora Medium" w:eastAsiaTheme="minorHAnsi" w:hAnsi="Lora Medium" w:cs="Open Sans SemiCondens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672185">
    <w:abstractNumId w:val="1"/>
  </w:num>
  <w:num w:numId="2" w16cid:durableId="1969431951">
    <w:abstractNumId w:val="4"/>
  </w:num>
  <w:num w:numId="3" w16cid:durableId="1443961784">
    <w:abstractNumId w:val="2"/>
  </w:num>
  <w:num w:numId="4" w16cid:durableId="602885506">
    <w:abstractNumId w:val="3"/>
  </w:num>
  <w:num w:numId="5" w16cid:durableId="185021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AA"/>
    <w:rsid w:val="0007610A"/>
    <w:rsid w:val="0015740F"/>
    <w:rsid w:val="001A5FD5"/>
    <w:rsid w:val="001F27C2"/>
    <w:rsid w:val="002A1C34"/>
    <w:rsid w:val="00364AA9"/>
    <w:rsid w:val="0052784C"/>
    <w:rsid w:val="00625FC4"/>
    <w:rsid w:val="006F4BAA"/>
    <w:rsid w:val="00710021"/>
    <w:rsid w:val="00720D56"/>
    <w:rsid w:val="007C6F07"/>
    <w:rsid w:val="00B10FF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C42"/>
  <w15:chartTrackingRefBased/>
  <w15:docId w15:val="{876DA96B-26F9-420D-AAC9-E002D57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BAA"/>
    <w:rPr>
      <w:color w:val="0563C1" w:themeColor="hyperlink"/>
      <w:u w:val="single"/>
    </w:rPr>
  </w:style>
  <w:style w:type="character" w:styleId="UnresolvedMention">
    <w:name w:val="Unresolved Mention"/>
    <w:basedOn w:val="DefaultParagraphFont"/>
    <w:uiPriority w:val="99"/>
    <w:semiHidden/>
    <w:unhideWhenUsed/>
    <w:rsid w:val="006F4BAA"/>
    <w:rPr>
      <w:color w:val="605E5C"/>
      <w:shd w:val="clear" w:color="auto" w:fill="E1DFDD"/>
    </w:rPr>
  </w:style>
  <w:style w:type="character" w:styleId="FollowedHyperlink">
    <w:name w:val="FollowedHyperlink"/>
    <w:basedOn w:val="DefaultParagraphFont"/>
    <w:uiPriority w:val="99"/>
    <w:semiHidden/>
    <w:unhideWhenUsed/>
    <w:rsid w:val="006F4BAA"/>
    <w:rPr>
      <w:color w:val="954F72" w:themeColor="followedHyperlink"/>
      <w:u w:val="single"/>
    </w:rPr>
  </w:style>
  <w:style w:type="paragraph" w:styleId="ListParagraph">
    <w:name w:val="List Paragraph"/>
    <w:basedOn w:val="Normal"/>
    <w:uiPriority w:val="34"/>
    <w:qFormat/>
    <w:rsid w:val="00157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5393">
      <w:bodyDiv w:val="1"/>
      <w:marLeft w:val="0"/>
      <w:marRight w:val="0"/>
      <w:marTop w:val="0"/>
      <w:marBottom w:val="0"/>
      <w:divBdr>
        <w:top w:val="none" w:sz="0" w:space="0" w:color="auto"/>
        <w:left w:val="none" w:sz="0" w:space="0" w:color="auto"/>
        <w:bottom w:val="none" w:sz="0" w:space="0" w:color="auto"/>
        <w:right w:val="none" w:sz="0" w:space="0" w:color="auto"/>
      </w:divBdr>
    </w:div>
    <w:div w:id="364794900">
      <w:bodyDiv w:val="1"/>
      <w:marLeft w:val="0"/>
      <w:marRight w:val="0"/>
      <w:marTop w:val="0"/>
      <w:marBottom w:val="0"/>
      <w:divBdr>
        <w:top w:val="none" w:sz="0" w:space="0" w:color="auto"/>
        <w:left w:val="none" w:sz="0" w:space="0" w:color="auto"/>
        <w:bottom w:val="none" w:sz="0" w:space="0" w:color="auto"/>
        <w:right w:val="none" w:sz="0" w:space="0" w:color="auto"/>
      </w:divBdr>
    </w:div>
    <w:div w:id="552735085">
      <w:bodyDiv w:val="1"/>
      <w:marLeft w:val="0"/>
      <w:marRight w:val="0"/>
      <w:marTop w:val="0"/>
      <w:marBottom w:val="0"/>
      <w:divBdr>
        <w:top w:val="none" w:sz="0" w:space="0" w:color="auto"/>
        <w:left w:val="none" w:sz="0" w:space="0" w:color="auto"/>
        <w:bottom w:val="none" w:sz="0" w:space="0" w:color="auto"/>
        <w:right w:val="none" w:sz="0" w:space="0" w:color="auto"/>
      </w:divBdr>
    </w:div>
    <w:div w:id="877352983">
      <w:bodyDiv w:val="1"/>
      <w:marLeft w:val="0"/>
      <w:marRight w:val="0"/>
      <w:marTop w:val="0"/>
      <w:marBottom w:val="0"/>
      <w:divBdr>
        <w:top w:val="none" w:sz="0" w:space="0" w:color="auto"/>
        <w:left w:val="none" w:sz="0" w:space="0" w:color="auto"/>
        <w:bottom w:val="none" w:sz="0" w:space="0" w:color="auto"/>
        <w:right w:val="none" w:sz="0" w:space="0" w:color="auto"/>
      </w:divBdr>
    </w:div>
    <w:div w:id="1139148717">
      <w:bodyDiv w:val="1"/>
      <w:marLeft w:val="0"/>
      <w:marRight w:val="0"/>
      <w:marTop w:val="0"/>
      <w:marBottom w:val="0"/>
      <w:divBdr>
        <w:top w:val="none" w:sz="0" w:space="0" w:color="auto"/>
        <w:left w:val="none" w:sz="0" w:space="0" w:color="auto"/>
        <w:bottom w:val="none" w:sz="0" w:space="0" w:color="auto"/>
        <w:right w:val="none" w:sz="0" w:space="0" w:color="auto"/>
      </w:divBdr>
    </w:div>
    <w:div w:id="1157458348">
      <w:bodyDiv w:val="1"/>
      <w:marLeft w:val="0"/>
      <w:marRight w:val="0"/>
      <w:marTop w:val="0"/>
      <w:marBottom w:val="0"/>
      <w:divBdr>
        <w:top w:val="none" w:sz="0" w:space="0" w:color="auto"/>
        <w:left w:val="none" w:sz="0" w:space="0" w:color="auto"/>
        <w:bottom w:val="none" w:sz="0" w:space="0" w:color="auto"/>
        <w:right w:val="none" w:sz="0" w:space="0" w:color="auto"/>
      </w:divBdr>
    </w:div>
    <w:div w:id="1536044148">
      <w:bodyDiv w:val="1"/>
      <w:marLeft w:val="0"/>
      <w:marRight w:val="0"/>
      <w:marTop w:val="0"/>
      <w:marBottom w:val="0"/>
      <w:divBdr>
        <w:top w:val="none" w:sz="0" w:space="0" w:color="auto"/>
        <w:left w:val="none" w:sz="0" w:space="0" w:color="auto"/>
        <w:bottom w:val="none" w:sz="0" w:space="0" w:color="auto"/>
        <w:right w:val="none" w:sz="0" w:space="0" w:color="auto"/>
      </w:divBdr>
    </w:div>
    <w:div w:id="1855458861">
      <w:bodyDiv w:val="1"/>
      <w:marLeft w:val="0"/>
      <w:marRight w:val="0"/>
      <w:marTop w:val="0"/>
      <w:marBottom w:val="0"/>
      <w:divBdr>
        <w:top w:val="none" w:sz="0" w:space="0" w:color="auto"/>
        <w:left w:val="none" w:sz="0" w:space="0" w:color="auto"/>
        <w:bottom w:val="none" w:sz="0" w:space="0" w:color="auto"/>
        <w:right w:val="none" w:sz="0" w:space="0" w:color="auto"/>
      </w:divBdr>
    </w:div>
    <w:div w:id="20244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UNvEc6hA_Uyk9S3DN6LxbnqMbqlCKxBFhlXUP48WI95UQkJFQkdDTEs4OEhOSlJGTlcyMloxTDlDUi4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pg-online.de/cpg-event/2023-annual-conference-on-esg-supply-chains-navigating-a-new-regulatory-environment/" TargetMode="External"/><Relationship Id="rId5" Type="http://schemas.openxmlformats.org/officeDocument/2006/relationships/styles" Target="styles.xml"/><Relationship Id="rId10" Type="http://schemas.openxmlformats.org/officeDocument/2006/relationships/hyperlink" Target="mailto:events@cpg-online.de" TargetMode="External"/><Relationship Id="rId4" Type="http://schemas.openxmlformats.org/officeDocument/2006/relationships/numbering" Target="numbering.xml"/><Relationship Id="rId9" Type="http://schemas.openxmlformats.org/officeDocument/2006/relationships/hyperlink" Target="mailto:lucas.meier@cpg-onli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222a67-9222-4aa2-b5a3-5f19481a5274" xsi:nil="true"/>
    <lcf76f155ced4ddcb4097134ff3c332f xmlns="631962f7-2052-4f2b-bef8-872ab22e8c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079DCF1ABF5248A51A2046ADCD63FD" ma:contentTypeVersion="14" ma:contentTypeDescription="Create a new document." ma:contentTypeScope="" ma:versionID="193dbe9d3ad2454a26ec1859c7c7615f">
  <xsd:schema xmlns:xsd="http://www.w3.org/2001/XMLSchema" xmlns:xs="http://www.w3.org/2001/XMLSchema" xmlns:p="http://schemas.microsoft.com/office/2006/metadata/properties" xmlns:ns2="631962f7-2052-4f2b-bef8-872ab22e8c1e" xmlns:ns3="30222a67-9222-4aa2-b5a3-5f19481a5274" targetNamespace="http://schemas.microsoft.com/office/2006/metadata/properties" ma:root="true" ma:fieldsID="2ad269a7f42e53c2edf00a9feab7ded8" ns2:_="" ns3:_="">
    <xsd:import namespace="631962f7-2052-4f2b-bef8-872ab22e8c1e"/>
    <xsd:import namespace="30222a67-9222-4aa2-b5a3-5f19481a52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962f7-2052-4f2b-bef8-872ab22e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ca35e-c195-473c-baff-8304e4e696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22a67-9222-4aa2-b5a3-5f19481a52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2d69c-480b-4782-9c6e-3169191078fb}" ma:internalName="TaxCatchAll" ma:showField="CatchAllData" ma:web="30222a67-9222-4aa2-b5a3-5f19481a52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94916-167D-42A2-A819-010B03569010}">
  <ds:schemaRefs>
    <ds:schemaRef ds:uri="http://schemas.microsoft.com/office/2006/metadata/properties"/>
    <ds:schemaRef ds:uri="http://schemas.microsoft.com/office/infopath/2007/PartnerControls"/>
    <ds:schemaRef ds:uri="30222a67-9222-4aa2-b5a3-5f19481a5274"/>
    <ds:schemaRef ds:uri="631962f7-2052-4f2b-bef8-872ab22e8c1e"/>
  </ds:schemaRefs>
</ds:datastoreItem>
</file>

<file path=customXml/itemProps2.xml><?xml version="1.0" encoding="utf-8"?>
<ds:datastoreItem xmlns:ds="http://schemas.openxmlformats.org/officeDocument/2006/customXml" ds:itemID="{A7F146B9-5331-4C08-A6B0-FE003A3C905F}">
  <ds:schemaRefs>
    <ds:schemaRef ds:uri="http://schemas.microsoft.com/sharepoint/v3/contenttype/forms"/>
  </ds:schemaRefs>
</ds:datastoreItem>
</file>

<file path=customXml/itemProps3.xml><?xml version="1.0" encoding="utf-8"?>
<ds:datastoreItem xmlns:ds="http://schemas.openxmlformats.org/officeDocument/2006/customXml" ds:itemID="{DDEBAE3E-2F8C-4703-B910-6969806A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962f7-2052-4f2b-bef8-872ab22e8c1e"/>
    <ds:schemaRef ds:uri="30222a67-9222-4aa2-b5a3-5f19481a5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Meier</dc:creator>
  <cp:keywords/>
  <dc:description/>
  <cp:lastModifiedBy>Lucas Meier</cp:lastModifiedBy>
  <cp:revision>5</cp:revision>
  <dcterms:created xsi:type="dcterms:W3CDTF">2023-10-06T06:17:00Z</dcterms:created>
  <dcterms:modified xsi:type="dcterms:W3CDTF">2023-10-08T03:42:00Z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0x01010030079DCF1ABF5248A51A2046ADCD63FD</vt:lpwstr>
  </property>
  <property fmtid="{D5CDD505-2E9C-101B-9397-08002B2CF9AE}" pid="3" name="MediaServiceImageTags">
    <vt:lpwstr/>
  </property>
</Properties>
</file>